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B7832" w:rsidRDefault="00787F59" w:rsidP="00787F59">
      <w:pPr>
        <w:spacing w:after="120"/>
        <w:ind w:right="-54"/>
        <w:rPr>
          <w:b/>
          <w:sz w:val="26"/>
          <w:szCs w:val="26"/>
        </w:rPr>
      </w:pPr>
      <w:r>
        <w:rPr>
          <w:b/>
          <w:sz w:val="26"/>
          <w:szCs w:val="26"/>
        </w:rPr>
        <w:t>Provozní řád – rodinná pohotovost</w:t>
      </w:r>
      <w:r>
        <w:rPr>
          <w:b/>
          <w:sz w:val="26"/>
          <w:szCs w:val="26"/>
        </w:rPr>
        <w:br/>
      </w:r>
    </w:p>
    <w:p w14:paraId="00000002" w14:textId="77777777" w:rsidR="005B7832" w:rsidRDefault="00787F59" w:rsidP="00787F59">
      <w:pPr>
        <w:spacing w:before="200" w:after="120"/>
        <w:ind w:right="-54"/>
      </w:pPr>
      <w:r>
        <w:rPr>
          <w:b/>
        </w:rPr>
        <w:t>Poskytovatel YOUPI.OPAVA</w:t>
      </w:r>
      <w:r>
        <w:br/>
      </w:r>
      <w:r>
        <w:rPr>
          <w:b/>
        </w:rPr>
        <w:t>jméno a příjmení:</w:t>
      </w:r>
      <w:r>
        <w:t xml:space="preserve"> Pavla Staňková</w:t>
      </w:r>
      <w:r>
        <w:br/>
      </w:r>
      <w:r>
        <w:rPr>
          <w:b/>
        </w:rPr>
        <w:t>adresa:</w:t>
      </w:r>
      <w:r>
        <w:t xml:space="preserve"> Přemyslovců 280/52, Opava Jaktař 747 07 </w:t>
      </w:r>
      <w:r>
        <w:br/>
      </w:r>
      <w:r>
        <w:rPr>
          <w:b/>
        </w:rPr>
        <w:t>IČ:</w:t>
      </w:r>
      <w:r>
        <w:t xml:space="preserve"> 21862575 </w:t>
      </w:r>
      <w:r>
        <w:br/>
      </w:r>
      <w:r>
        <w:rPr>
          <w:b/>
        </w:rPr>
        <w:t>telefon:</w:t>
      </w:r>
      <w:r>
        <w:t xml:space="preserve"> 607 856 367</w:t>
      </w:r>
      <w:r>
        <w:br/>
      </w:r>
      <w:r>
        <w:rPr>
          <w:b/>
        </w:rPr>
        <w:t>e-mail:</w:t>
      </w:r>
      <w:r>
        <w:t xml:space="preserve"> </w:t>
      </w:r>
      <w:hyperlink r:id="rId6">
        <w:r>
          <w:rPr>
            <w:color w:val="1155CC"/>
            <w:u w:val="single"/>
          </w:rPr>
          <w:t>youpi.opava@gmail.com</w:t>
        </w:r>
      </w:hyperlink>
    </w:p>
    <w:p w14:paraId="00000003" w14:textId="77777777" w:rsidR="005B7832" w:rsidRDefault="00787F59" w:rsidP="00787F59">
      <w:pPr>
        <w:spacing w:before="200" w:after="120"/>
        <w:ind w:right="-264"/>
      </w:pPr>
      <w:r>
        <w:rPr>
          <w:b/>
        </w:rPr>
        <w:t>Prostor:</w:t>
      </w:r>
      <w:r>
        <w:t xml:space="preserve"> rodinný dům (Přemyslovců 280/52, Opava - Jaktař) </w:t>
      </w:r>
    </w:p>
    <w:p w14:paraId="00000004" w14:textId="77777777" w:rsidR="005B7832" w:rsidRDefault="002834B2" w:rsidP="00787F59">
      <w:pPr>
        <w:spacing w:after="120"/>
        <w:ind w:right="-54"/>
      </w:pPr>
      <w:r>
        <w:pict w14:anchorId="4F60573E">
          <v:rect id="_x0000_i1026" style="width:0;height:1.5pt" o:hralign="center" o:hrstd="t" o:hr="t" fillcolor="#a0a0a0" stroked="f"/>
        </w:pict>
      </w:r>
    </w:p>
    <w:p w14:paraId="00000005" w14:textId="5BCAFE0E" w:rsidR="005B7832" w:rsidRPr="00787F59" w:rsidRDefault="00787F59" w:rsidP="00787F59">
      <w:pPr>
        <w:pStyle w:val="Odstavecseseznamem"/>
        <w:numPr>
          <w:ilvl w:val="0"/>
          <w:numId w:val="13"/>
        </w:numPr>
        <w:spacing w:after="120"/>
        <w:ind w:right="-54"/>
        <w:contextualSpacing w:val="0"/>
        <w:rPr>
          <w:b/>
        </w:rPr>
      </w:pPr>
      <w:r w:rsidRPr="00787F59">
        <w:rPr>
          <w:b/>
        </w:rPr>
        <w:t>Účel a cíle</w:t>
      </w:r>
    </w:p>
    <w:p w14:paraId="00000006" w14:textId="07E4418D" w:rsidR="005B7832" w:rsidRDefault="00787F59" w:rsidP="00787F59">
      <w:pPr>
        <w:pStyle w:val="Odstavecseseznamem"/>
        <w:spacing w:after="120"/>
        <w:ind w:left="284" w:right="-54"/>
        <w:contextualSpacing w:val="0"/>
      </w:pPr>
      <w:r>
        <w:t xml:space="preserve">provozovatel zajišťuje </w:t>
      </w:r>
      <w:r w:rsidRPr="00787F59">
        <w:rPr>
          <w:b/>
        </w:rPr>
        <w:t>rodinnou pohotovost pro rodiče a děti/teenagery s výchovnými nebo vzdělávacími problémy</w:t>
      </w:r>
      <w:r>
        <w:t xml:space="preserve">, jejichž cílem je poskytnout odbornou podporu a metodickou pomoc v bezpečném a klidném prostředí </w:t>
      </w:r>
      <w:r w:rsidR="005842AC">
        <w:t>rodinného domu</w:t>
      </w:r>
    </w:p>
    <w:p w14:paraId="00000007" w14:textId="77777777" w:rsidR="005B7832" w:rsidRDefault="002834B2" w:rsidP="00787F59">
      <w:pPr>
        <w:spacing w:after="120"/>
        <w:ind w:right="-54"/>
      </w:pPr>
      <w:r>
        <w:pict w14:anchorId="458D3632">
          <v:rect id="_x0000_i1027" style="width:0;height:1.5pt" o:hralign="center" o:hrstd="t" o:hr="t" fillcolor="#a0a0a0" stroked="f"/>
        </w:pict>
      </w:r>
    </w:p>
    <w:p w14:paraId="00000008" w14:textId="1EF545D8" w:rsidR="005B7832" w:rsidRPr="00787F59" w:rsidRDefault="00787F59" w:rsidP="00787F59">
      <w:pPr>
        <w:pStyle w:val="Odstavecseseznamem"/>
        <w:numPr>
          <w:ilvl w:val="0"/>
          <w:numId w:val="13"/>
        </w:numPr>
        <w:spacing w:after="120"/>
        <w:ind w:right="-54"/>
        <w:contextualSpacing w:val="0"/>
        <w:rPr>
          <w:b/>
        </w:rPr>
      </w:pPr>
      <w:r w:rsidRPr="00787F59">
        <w:rPr>
          <w:b/>
        </w:rPr>
        <w:t>Provozní doba</w:t>
      </w:r>
    </w:p>
    <w:p w14:paraId="00000009" w14:textId="77777777" w:rsidR="005B7832" w:rsidRDefault="00787F59" w:rsidP="00787F59">
      <w:pPr>
        <w:pStyle w:val="Odstavecseseznamem"/>
        <w:numPr>
          <w:ilvl w:val="1"/>
          <w:numId w:val="13"/>
        </w:numPr>
        <w:spacing w:after="120"/>
        <w:ind w:right="-54"/>
        <w:contextualSpacing w:val="0"/>
      </w:pPr>
      <w:r>
        <w:t xml:space="preserve">konzultace probíhají </w:t>
      </w:r>
      <w:r w:rsidRPr="00787F59">
        <w:rPr>
          <w:b/>
        </w:rPr>
        <w:t>dopoledne</w:t>
      </w:r>
      <w:r>
        <w:t>, dle předem domluveného termínu</w:t>
      </w:r>
    </w:p>
    <w:p w14:paraId="0000000A" w14:textId="77777777" w:rsidR="005B7832" w:rsidRDefault="00787F59" w:rsidP="00787F59">
      <w:pPr>
        <w:pStyle w:val="Odstavecseseznamem"/>
        <w:numPr>
          <w:ilvl w:val="1"/>
          <w:numId w:val="13"/>
        </w:numPr>
        <w:spacing w:after="120"/>
        <w:ind w:right="-54"/>
        <w:contextualSpacing w:val="0"/>
      </w:pPr>
      <w:r>
        <w:t>přesný harmonogram je sjednán individuálně s rodiči</w:t>
      </w:r>
    </w:p>
    <w:p w14:paraId="0000000B" w14:textId="77777777" w:rsidR="005B7832" w:rsidRDefault="002834B2" w:rsidP="00787F59">
      <w:pPr>
        <w:spacing w:after="120"/>
        <w:ind w:right="-54"/>
      </w:pPr>
      <w:r>
        <w:pict w14:anchorId="160EB539">
          <v:rect id="_x0000_i1028" style="width:0;height:1.5pt" o:hralign="center" o:hrstd="t" o:hr="t" fillcolor="#a0a0a0" stroked="f"/>
        </w:pict>
      </w:r>
    </w:p>
    <w:p w14:paraId="0000000C" w14:textId="46833F39" w:rsidR="005B7832" w:rsidRPr="00787F59" w:rsidRDefault="00787F59" w:rsidP="00787F59">
      <w:pPr>
        <w:pStyle w:val="Odstavecseseznamem"/>
        <w:numPr>
          <w:ilvl w:val="0"/>
          <w:numId w:val="13"/>
        </w:numPr>
        <w:spacing w:after="120"/>
        <w:ind w:right="-54"/>
        <w:contextualSpacing w:val="0"/>
        <w:rPr>
          <w:b/>
        </w:rPr>
      </w:pPr>
      <w:r w:rsidRPr="00787F59">
        <w:rPr>
          <w:b/>
        </w:rPr>
        <w:t>Kapacita a účastníci</w:t>
      </w:r>
    </w:p>
    <w:p w14:paraId="2AA24380" w14:textId="77777777" w:rsidR="005842AC" w:rsidRDefault="00787F59" w:rsidP="00787F59">
      <w:pPr>
        <w:pStyle w:val="Odstavecseseznamem"/>
        <w:numPr>
          <w:ilvl w:val="1"/>
          <w:numId w:val="13"/>
        </w:numPr>
        <w:spacing w:after="120"/>
        <w:ind w:right="-54"/>
        <w:contextualSpacing w:val="0"/>
      </w:pPr>
      <w:r>
        <w:t>konzultace probíhají</w:t>
      </w:r>
      <w:r w:rsidR="005842AC">
        <w:t xml:space="preserve">: </w:t>
      </w:r>
    </w:p>
    <w:p w14:paraId="0000000F" w14:textId="77777777" w:rsidR="005B7832" w:rsidRDefault="00787F59" w:rsidP="00E75D39">
      <w:pPr>
        <w:pStyle w:val="Odstavecseseznamem"/>
        <w:numPr>
          <w:ilvl w:val="2"/>
          <w:numId w:val="13"/>
        </w:numPr>
        <w:spacing w:after="120"/>
        <w:ind w:right="-54"/>
        <w:contextualSpacing w:val="0"/>
      </w:pPr>
      <w:r>
        <w:t>pouze s rodičem,</w:t>
      </w:r>
    </w:p>
    <w:p w14:paraId="00000010" w14:textId="3B74C024" w:rsidR="005B7832" w:rsidRDefault="00787F59" w:rsidP="00E75D39">
      <w:pPr>
        <w:pStyle w:val="Odstavecseseznamem"/>
        <w:numPr>
          <w:ilvl w:val="2"/>
          <w:numId w:val="13"/>
        </w:numPr>
        <w:spacing w:after="120"/>
        <w:ind w:right="-54"/>
        <w:contextualSpacing w:val="0"/>
      </w:pPr>
      <w:r>
        <w:t>s rodičem a dítětem,</w:t>
      </w:r>
    </w:p>
    <w:p w14:paraId="00000011" w14:textId="0E30BD83" w:rsidR="005B7832" w:rsidRDefault="00787F59" w:rsidP="00E75D39">
      <w:pPr>
        <w:pStyle w:val="Odstavecseseznamem"/>
        <w:numPr>
          <w:ilvl w:val="2"/>
          <w:numId w:val="13"/>
        </w:numPr>
        <w:spacing w:after="120"/>
        <w:ind w:right="-54"/>
        <w:contextualSpacing w:val="0"/>
      </w:pPr>
      <w:r>
        <w:t>pouze s dítětem,</w:t>
      </w:r>
    </w:p>
    <w:p w14:paraId="00000012" w14:textId="77777777" w:rsidR="005B7832" w:rsidRDefault="00787F59" w:rsidP="00E75D39">
      <w:pPr>
        <w:pStyle w:val="Odstavecseseznamem"/>
        <w:numPr>
          <w:ilvl w:val="2"/>
          <w:numId w:val="13"/>
        </w:numPr>
        <w:spacing w:after="120"/>
        <w:ind w:right="-54"/>
        <w:contextualSpacing w:val="0"/>
      </w:pPr>
      <w:r>
        <w:t>s celou rodinou</w:t>
      </w:r>
    </w:p>
    <w:p w14:paraId="00000013" w14:textId="77777777" w:rsidR="005B7832" w:rsidRDefault="002834B2" w:rsidP="00787F59">
      <w:pPr>
        <w:spacing w:after="120"/>
        <w:ind w:right="-54"/>
      </w:pPr>
      <w:r>
        <w:pict w14:anchorId="168C71C4">
          <v:rect id="_x0000_i1029" style="width:0;height:1.5pt" o:hralign="center" o:hrstd="t" o:hr="t" fillcolor="#a0a0a0" stroked="f"/>
        </w:pict>
      </w:r>
    </w:p>
    <w:p w14:paraId="00000014" w14:textId="797E0189" w:rsidR="005B7832" w:rsidRPr="00787F59" w:rsidRDefault="00787F59" w:rsidP="00787F59">
      <w:pPr>
        <w:pStyle w:val="Odstavecseseznamem"/>
        <w:numPr>
          <w:ilvl w:val="0"/>
          <w:numId w:val="13"/>
        </w:numPr>
        <w:spacing w:after="120"/>
        <w:ind w:right="-54"/>
        <w:contextualSpacing w:val="0"/>
        <w:rPr>
          <w:b/>
        </w:rPr>
      </w:pPr>
      <w:r w:rsidRPr="00787F59">
        <w:rPr>
          <w:b/>
        </w:rPr>
        <w:t>Přijímání dětí</w:t>
      </w:r>
    </w:p>
    <w:p w14:paraId="00000015" w14:textId="77777777" w:rsidR="005B7832" w:rsidRPr="00787F59" w:rsidRDefault="00787F59" w:rsidP="00787F59">
      <w:pPr>
        <w:pStyle w:val="Odstavecseseznamem"/>
        <w:numPr>
          <w:ilvl w:val="1"/>
          <w:numId w:val="13"/>
        </w:numPr>
        <w:spacing w:after="120"/>
        <w:ind w:right="-264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>odchod a příchod dítěte je plně v odpovědnosti zákonného zástupce</w:t>
      </w:r>
    </w:p>
    <w:p w14:paraId="00000016" w14:textId="3255E054" w:rsidR="005B7832" w:rsidRPr="00787F59" w:rsidRDefault="00787F59" w:rsidP="00787F59">
      <w:pPr>
        <w:pStyle w:val="Odstavecseseznamem"/>
        <w:numPr>
          <w:ilvl w:val="1"/>
          <w:numId w:val="13"/>
        </w:numPr>
        <w:spacing w:after="120"/>
        <w:ind w:right="-264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 xml:space="preserve">dítě s příznaky infekčního onemocnění není na </w:t>
      </w:r>
      <w:r w:rsidR="002834B2">
        <w:t>konzultaci</w:t>
      </w:r>
      <w:r>
        <w:t xml:space="preserve"> přijato</w:t>
      </w:r>
    </w:p>
    <w:p w14:paraId="00000017" w14:textId="1FD7BE70" w:rsidR="005B7832" w:rsidRDefault="002834B2" w:rsidP="00787F59">
      <w:pPr>
        <w:spacing w:after="120"/>
        <w:ind w:right="-54"/>
        <w:rPr>
          <w:b/>
        </w:rPr>
      </w:pPr>
      <w:r>
        <w:pict w14:anchorId="7030EBEC">
          <v:rect id="_x0000_i1030" style="width:0;height:1.5pt" o:hralign="center" o:hrstd="t" o:hr="t" fillcolor="#a0a0a0" stroked="f"/>
        </w:pict>
      </w:r>
    </w:p>
    <w:p w14:paraId="00000018" w14:textId="75B1C08A" w:rsidR="005B7832" w:rsidRDefault="00787F59" w:rsidP="00787F59">
      <w:pPr>
        <w:pStyle w:val="Odstavecseseznamem"/>
        <w:numPr>
          <w:ilvl w:val="0"/>
          <w:numId w:val="13"/>
        </w:numPr>
        <w:spacing w:after="120"/>
        <w:ind w:right="-54"/>
        <w:contextualSpacing w:val="0"/>
      </w:pPr>
      <w:r w:rsidRPr="00787F59">
        <w:rPr>
          <w:b/>
        </w:rPr>
        <w:t xml:space="preserve">Hygienické podmínky </w:t>
      </w:r>
    </w:p>
    <w:p w14:paraId="0000001A" w14:textId="32B19259" w:rsidR="005B7832" w:rsidRPr="00787F59" w:rsidRDefault="00787F59" w:rsidP="00787F59">
      <w:pPr>
        <w:pStyle w:val="Odstavecseseznamem"/>
        <w:numPr>
          <w:ilvl w:val="1"/>
          <w:numId w:val="13"/>
        </w:numPr>
        <w:spacing w:after="120"/>
        <w:ind w:right="-547"/>
        <w:contextualSpacing w:val="0"/>
      </w:pPr>
      <w:r>
        <w:t>prostory jsou denně větrány, povrchy pravidelně čištěny a dezinfikovány pracovní plochy, učební pomůcky a toaleta jsou dezinfikovány podle potřeby</w:t>
      </w:r>
    </w:p>
    <w:p w14:paraId="0000001B" w14:textId="77777777" w:rsidR="005B7832" w:rsidRDefault="00787F59" w:rsidP="00787F59">
      <w:pPr>
        <w:pStyle w:val="Odstavecseseznamem"/>
        <w:numPr>
          <w:ilvl w:val="1"/>
          <w:numId w:val="13"/>
        </w:numPr>
        <w:spacing w:after="120"/>
        <w:ind w:right="-264"/>
        <w:contextualSpacing w:val="0"/>
      </w:pPr>
      <w:r>
        <w:t>klienti mají k dispozici tekoucí vodu, hygienické potřeby a toaletu</w:t>
      </w:r>
    </w:p>
    <w:p w14:paraId="0000001C" w14:textId="77777777" w:rsidR="005B7832" w:rsidRDefault="002834B2" w:rsidP="00787F59">
      <w:pPr>
        <w:spacing w:after="120"/>
        <w:ind w:right="-54"/>
      </w:pPr>
      <w:r>
        <w:pict w14:anchorId="6E80EC4A">
          <v:rect id="_x0000_i1031" style="width:0;height:1.5pt" o:hralign="center" o:bullet="t" o:hrstd="t" o:hr="t" fillcolor="#a0a0a0" stroked="f"/>
        </w:pict>
      </w:r>
    </w:p>
    <w:p w14:paraId="65482C8B" w14:textId="77777777" w:rsidR="00E75D39" w:rsidRDefault="00E75D39" w:rsidP="00787F59">
      <w:pPr>
        <w:spacing w:after="120"/>
        <w:ind w:right="-54"/>
      </w:pPr>
    </w:p>
    <w:p w14:paraId="0000001D" w14:textId="630943C1" w:rsidR="005B7832" w:rsidRPr="00787F59" w:rsidRDefault="00787F59" w:rsidP="00787F59">
      <w:pPr>
        <w:pStyle w:val="Odstavecseseznamem"/>
        <w:numPr>
          <w:ilvl w:val="0"/>
          <w:numId w:val="13"/>
        </w:numPr>
        <w:spacing w:after="120"/>
        <w:ind w:right="-54"/>
        <w:contextualSpacing w:val="0"/>
        <w:rPr>
          <w:b/>
        </w:rPr>
      </w:pPr>
      <w:r w:rsidRPr="00787F59">
        <w:rPr>
          <w:b/>
        </w:rPr>
        <w:t>Bezpečnost</w:t>
      </w:r>
    </w:p>
    <w:p w14:paraId="0000001E" w14:textId="77777777" w:rsidR="005B7832" w:rsidRPr="00787F59" w:rsidRDefault="00787F59" w:rsidP="00787F59">
      <w:pPr>
        <w:pStyle w:val="Odstavecseseznamem"/>
        <w:numPr>
          <w:ilvl w:val="1"/>
          <w:numId w:val="13"/>
        </w:numPr>
        <w:spacing w:after="120"/>
        <w:ind w:right="-264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lastRenderedPageBreak/>
        <w:t>prostory jsou bez volně přístupných jedovatých nebo jinak nebezpečných předmětů</w:t>
      </w:r>
    </w:p>
    <w:p w14:paraId="0000001F" w14:textId="4853FAAC" w:rsidR="005B7832" w:rsidRPr="00787F59" w:rsidRDefault="00787F59" w:rsidP="00787F59">
      <w:pPr>
        <w:pStyle w:val="Odstavecseseznamem"/>
        <w:numPr>
          <w:ilvl w:val="1"/>
          <w:numId w:val="13"/>
        </w:numPr>
        <w:spacing w:after="120"/>
        <w:ind w:right="-264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>elektrické zásuvky jsou chráněny dětskými pojistkami</w:t>
      </w:r>
    </w:p>
    <w:p w14:paraId="00000021" w14:textId="75791EAC" w:rsidR="005B7832" w:rsidRPr="00787F59" w:rsidRDefault="00787F59" w:rsidP="00787F59">
      <w:pPr>
        <w:pStyle w:val="Odstavecseseznamem"/>
        <w:numPr>
          <w:ilvl w:val="1"/>
          <w:numId w:val="13"/>
        </w:numPr>
        <w:spacing w:after="120"/>
        <w:ind w:right="-264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>klienti se pohybují pouze v určených místnostech (učebna, toaleta, chodba) a po schodech se pohybují vždy tak, že se drží zábradlí</w:t>
      </w:r>
    </w:p>
    <w:p w14:paraId="00000022" w14:textId="77777777" w:rsidR="005B7832" w:rsidRDefault="002834B2" w:rsidP="00787F59">
      <w:pPr>
        <w:pStyle w:val="Odstavecseseznamem"/>
        <w:spacing w:after="120"/>
        <w:ind w:left="284" w:right="-54"/>
        <w:contextualSpacing w:val="0"/>
      </w:pPr>
      <w:r>
        <w:pict w14:anchorId="2885235D">
          <v:rect id="_x0000_i1032" style="width:0;height:1.5pt" o:hralign="center" o:hrstd="t" o:hr="t" fillcolor="#a0a0a0" stroked="f"/>
        </w:pict>
      </w:r>
    </w:p>
    <w:p w14:paraId="00000023" w14:textId="592380E6" w:rsidR="005B7832" w:rsidRPr="00787F59" w:rsidRDefault="00787F59" w:rsidP="00787F59">
      <w:pPr>
        <w:pStyle w:val="Odstavecseseznamem"/>
        <w:numPr>
          <w:ilvl w:val="0"/>
          <w:numId w:val="13"/>
        </w:numPr>
        <w:spacing w:after="120"/>
        <w:ind w:right="-54"/>
        <w:contextualSpacing w:val="0"/>
        <w:rPr>
          <w:b/>
        </w:rPr>
      </w:pPr>
      <w:r w:rsidRPr="00787F59">
        <w:rPr>
          <w:b/>
        </w:rPr>
        <w:t>Organizace konzultace</w:t>
      </w:r>
    </w:p>
    <w:p w14:paraId="00000024" w14:textId="77777777" w:rsidR="005B7832" w:rsidRDefault="00787F59" w:rsidP="00787F59">
      <w:pPr>
        <w:pStyle w:val="Odstavecseseznamem"/>
        <w:numPr>
          <w:ilvl w:val="1"/>
          <w:numId w:val="13"/>
        </w:numPr>
        <w:spacing w:after="120"/>
        <w:ind w:right="-54"/>
        <w:contextualSpacing w:val="0"/>
      </w:pPr>
      <w:r>
        <w:t>jedno sezení trvá 50 - 90 minut dle objednávky klienta</w:t>
      </w:r>
    </w:p>
    <w:p w14:paraId="00000025" w14:textId="45D4B064" w:rsidR="005B7832" w:rsidRDefault="00787F59" w:rsidP="00787F59">
      <w:pPr>
        <w:pStyle w:val="Odstavecseseznamem"/>
        <w:numPr>
          <w:ilvl w:val="1"/>
          <w:numId w:val="13"/>
        </w:numPr>
        <w:spacing w:after="120"/>
        <w:ind w:right="-54"/>
        <w:contextualSpacing w:val="0"/>
      </w:pPr>
      <w:r>
        <w:t>konzultace probíhá v klidném prostředí bez rušivých vlivů</w:t>
      </w:r>
    </w:p>
    <w:p w14:paraId="00000026" w14:textId="77777777" w:rsidR="005B7832" w:rsidRDefault="00787F59" w:rsidP="00787F59">
      <w:pPr>
        <w:pStyle w:val="Odstavecseseznamem"/>
        <w:numPr>
          <w:ilvl w:val="1"/>
          <w:numId w:val="13"/>
        </w:numPr>
        <w:spacing w:after="120"/>
        <w:ind w:right="-54"/>
        <w:contextualSpacing w:val="0"/>
      </w:pPr>
      <w:r>
        <w:t>mobilní telefony klientů jsou v tichém režimu</w:t>
      </w:r>
    </w:p>
    <w:p w14:paraId="00000027" w14:textId="3E2535FA" w:rsidR="005B7832" w:rsidRDefault="00787F59" w:rsidP="00787F59">
      <w:pPr>
        <w:pStyle w:val="Odstavecseseznamem"/>
        <w:numPr>
          <w:ilvl w:val="1"/>
          <w:numId w:val="13"/>
        </w:numPr>
        <w:spacing w:after="120"/>
        <w:ind w:right="-54"/>
        <w:contextualSpacing w:val="0"/>
      </w:pPr>
      <w:r>
        <w:t xml:space="preserve">konzultace může zahrnovat rozhovor, poradenství, praktické cvičení, testy nebo modelové situace podle individuálních potřeb </w:t>
      </w:r>
      <w:r w:rsidR="002834B2">
        <w:t>klienta</w:t>
      </w:r>
    </w:p>
    <w:p w14:paraId="00000028" w14:textId="77777777" w:rsidR="005B7832" w:rsidRDefault="002834B2" w:rsidP="00787F59">
      <w:pPr>
        <w:spacing w:after="120"/>
        <w:ind w:right="-54"/>
      </w:pPr>
      <w:r>
        <w:pict w14:anchorId="4ED01A91">
          <v:rect id="_x0000_i1033" style="width:0;height:1.5pt" o:hralign="center" o:hrstd="t" o:hr="t" fillcolor="#a0a0a0" stroked="f"/>
        </w:pict>
      </w:r>
    </w:p>
    <w:p w14:paraId="00000029" w14:textId="1C6F36FF" w:rsidR="005B7832" w:rsidRPr="00787F59" w:rsidRDefault="00787F59" w:rsidP="00787F59">
      <w:pPr>
        <w:pStyle w:val="Odstavecseseznamem"/>
        <w:numPr>
          <w:ilvl w:val="0"/>
          <w:numId w:val="13"/>
        </w:numPr>
        <w:spacing w:after="120"/>
        <w:ind w:right="-54"/>
        <w:contextualSpacing w:val="0"/>
        <w:rPr>
          <w:b/>
        </w:rPr>
      </w:pPr>
      <w:r w:rsidRPr="00787F59">
        <w:rPr>
          <w:b/>
        </w:rPr>
        <w:t>Odpovědnost</w:t>
      </w:r>
    </w:p>
    <w:p w14:paraId="0000002A" w14:textId="77777777" w:rsidR="005B7832" w:rsidRDefault="00787F59" w:rsidP="00787F59">
      <w:pPr>
        <w:pStyle w:val="Odstavecseseznamem"/>
        <w:numPr>
          <w:ilvl w:val="1"/>
          <w:numId w:val="13"/>
        </w:numPr>
        <w:spacing w:after="120"/>
        <w:ind w:right="-54"/>
        <w:contextualSpacing w:val="0"/>
      </w:pPr>
      <w:r>
        <w:t xml:space="preserve">provozovatel zodpovídá za bezpečnost účastníků </w:t>
      </w:r>
      <w:r w:rsidRPr="00787F59">
        <w:rPr>
          <w:b/>
        </w:rPr>
        <w:t>po dobu konzultace</w:t>
      </w:r>
    </w:p>
    <w:p w14:paraId="0000002B" w14:textId="77777777" w:rsidR="005B7832" w:rsidRPr="00787F59" w:rsidRDefault="00787F59" w:rsidP="00787F59">
      <w:pPr>
        <w:pStyle w:val="Odstavecseseznamem"/>
        <w:numPr>
          <w:ilvl w:val="1"/>
          <w:numId w:val="13"/>
        </w:numPr>
        <w:spacing w:after="120"/>
        <w:ind w:right="-264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>za škodu způsobenou úmyslným nebo nedbalým jednáním klienta na majetku provozovatele odpovídá zákonný zástupce</w:t>
      </w:r>
    </w:p>
    <w:p w14:paraId="0000002C" w14:textId="77777777" w:rsidR="005B7832" w:rsidRDefault="00787F59" w:rsidP="00787F59">
      <w:pPr>
        <w:pStyle w:val="Odstavecseseznamem"/>
        <w:numPr>
          <w:ilvl w:val="1"/>
          <w:numId w:val="13"/>
        </w:numPr>
        <w:spacing w:after="120"/>
        <w:ind w:right="-54"/>
        <w:contextualSpacing w:val="0"/>
      </w:pPr>
      <w:r>
        <w:t>provozovatel neručí za věci účastníků odložené mimo vyhrazené místo</w:t>
      </w:r>
    </w:p>
    <w:p w14:paraId="0000002D" w14:textId="77777777" w:rsidR="005B7832" w:rsidRDefault="002834B2" w:rsidP="00787F59">
      <w:pPr>
        <w:spacing w:after="120"/>
        <w:ind w:right="-54"/>
      </w:pPr>
      <w:r>
        <w:pict w14:anchorId="2212B275">
          <v:rect id="_x0000_i1034" style="width:0;height:1.5pt" o:hralign="center" o:hrstd="t" o:hr="t" fillcolor="#a0a0a0" stroked="f"/>
        </w:pict>
      </w:r>
    </w:p>
    <w:p w14:paraId="0000002E" w14:textId="40BD63C0" w:rsidR="005B7832" w:rsidRPr="00787F59" w:rsidRDefault="00787F59" w:rsidP="00787F59">
      <w:pPr>
        <w:pStyle w:val="Odstavecseseznamem"/>
        <w:numPr>
          <w:ilvl w:val="0"/>
          <w:numId w:val="13"/>
        </w:numPr>
        <w:spacing w:after="120"/>
        <w:ind w:right="-54"/>
        <w:contextualSpacing w:val="0"/>
        <w:rPr>
          <w:b/>
        </w:rPr>
      </w:pPr>
      <w:r w:rsidRPr="00787F59">
        <w:rPr>
          <w:b/>
        </w:rPr>
        <w:t>Závěrečná ustanovení</w:t>
      </w:r>
    </w:p>
    <w:p w14:paraId="0000002F" w14:textId="77777777" w:rsidR="005B7832" w:rsidRDefault="00787F59" w:rsidP="00787F59">
      <w:pPr>
        <w:pStyle w:val="Odstavecseseznamem"/>
        <w:numPr>
          <w:ilvl w:val="1"/>
          <w:numId w:val="13"/>
        </w:numPr>
        <w:spacing w:after="120"/>
        <w:ind w:right="-54"/>
        <w:contextualSpacing w:val="0"/>
      </w:pPr>
      <w:r>
        <w:t>tento provozní řád je nedílnou součástí smluvních podmínek</w:t>
      </w:r>
    </w:p>
    <w:p w14:paraId="00000030" w14:textId="77777777" w:rsidR="005B7832" w:rsidRPr="00787F59" w:rsidRDefault="00787F59" w:rsidP="00787F59">
      <w:pPr>
        <w:pStyle w:val="Odstavecseseznamem"/>
        <w:numPr>
          <w:ilvl w:val="1"/>
          <w:numId w:val="13"/>
        </w:numPr>
        <w:spacing w:after="120"/>
        <w:ind w:right="-264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>zaplacením zákonný zástupce souhlasí, že sebe i dítě seznámil s provozním řádem a souhlasí s jeho dodržováním</w:t>
      </w:r>
    </w:p>
    <w:p w14:paraId="00000031" w14:textId="77777777" w:rsidR="005B7832" w:rsidRDefault="005B7832" w:rsidP="00787F59">
      <w:pPr>
        <w:spacing w:after="120"/>
        <w:ind w:right="-54"/>
      </w:pPr>
    </w:p>
    <w:sectPr w:rsidR="005B7832">
      <w:pgSz w:w="11906" w:h="16838"/>
      <w:pgMar w:top="850" w:right="1304" w:bottom="1304" w:left="130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983EC6D9-DB15-4451-88F8-227932C77618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  <w:embedRegular r:id="rId2" w:fontKey="{C34852B8-1E61-4369-8314-2105E4517441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D8DEC9ED-9240-4990-8EF9-BCBF9CD51EA6}"/>
    <w:embedBold r:id="rId4" w:fontKey="{A547C5F2-76D9-4788-8CBF-5B9D5A637C69}"/>
    <w:embedItalic r:id="rId5" w:fontKey="{0A8C195D-AFE0-45DF-8C39-4AF4B344B2DE}"/>
  </w:font>
  <w:font w:name="Play">
    <w:charset w:val="00"/>
    <w:family w:val="auto"/>
    <w:pitch w:val="default"/>
    <w:embedRegular r:id="rId6" w:fontKey="{5BB5CA82-23EE-423C-8529-B57E7EA09C3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3852DA04-BD63-4F97-92FE-940D655C2D6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7F037F0"/>
    <w:multiLevelType w:val="multilevel"/>
    <w:tmpl w:val="4C442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E55921"/>
    <w:multiLevelType w:val="multilevel"/>
    <w:tmpl w:val="018235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3C1B5C"/>
    <w:multiLevelType w:val="multilevel"/>
    <w:tmpl w:val="ADAC46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5825A5"/>
    <w:multiLevelType w:val="multilevel"/>
    <w:tmpl w:val="ADA4E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7B202A"/>
    <w:multiLevelType w:val="multilevel"/>
    <w:tmpl w:val="6A9C4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3631EBE"/>
    <w:multiLevelType w:val="multilevel"/>
    <w:tmpl w:val="E3DAD1F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◦"/>
      <w:lvlJc w:val="left"/>
      <w:pPr>
        <w:ind w:left="851" w:hanging="284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FB4183"/>
    <w:multiLevelType w:val="multilevel"/>
    <w:tmpl w:val="0CB865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3830619"/>
    <w:multiLevelType w:val="multilevel"/>
    <w:tmpl w:val="340E7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DC5417"/>
    <w:multiLevelType w:val="multilevel"/>
    <w:tmpl w:val="E3DAD1F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◦"/>
      <w:lvlJc w:val="left"/>
      <w:pPr>
        <w:ind w:left="851" w:hanging="284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08815A5"/>
    <w:multiLevelType w:val="multilevel"/>
    <w:tmpl w:val="3CAE4D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3E03C23"/>
    <w:multiLevelType w:val="multilevel"/>
    <w:tmpl w:val="7AF81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4037705"/>
    <w:multiLevelType w:val="multilevel"/>
    <w:tmpl w:val="8856B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7A66D26"/>
    <w:multiLevelType w:val="multilevel"/>
    <w:tmpl w:val="2BEC8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33952656">
    <w:abstractNumId w:val="2"/>
  </w:num>
  <w:num w:numId="2" w16cid:durableId="712852039">
    <w:abstractNumId w:val="0"/>
  </w:num>
  <w:num w:numId="3" w16cid:durableId="1943995846">
    <w:abstractNumId w:val="1"/>
  </w:num>
  <w:num w:numId="4" w16cid:durableId="598754010">
    <w:abstractNumId w:val="12"/>
  </w:num>
  <w:num w:numId="5" w16cid:durableId="994990673">
    <w:abstractNumId w:val="10"/>
  </w:num>
  <w:num w:numId="6" w16cid:durableId="279650692">
    <w:abstractNumId w:val="11"/>
  </w:num>
  <w:num w:numId="7" w16cid:durableId="1170559044">
    <w:abstractNumId w:val="9"/>
  </w:num>
  <w:num w:numId="8" w16cid:durableId="122431581">
    <w:abstractNumId w:val="4"/>
  </w:num>
  <w:num w:numId="9" w16cid:durableId="351419021">
    <w:abstractNumId w:val="6"/>
  </w:num>
  <w:num w:numId="10" w16cid:durableId="1502818695">
    <w:abstractNumId w:val="3"/>
  </w:num>
  <w:num w:numId="11" w16cid:durableId="1997221398">
    <w:abstractNumId w:val="7"/>
  </w:num>
  <w:num w:numId="12" w16cid:durableId="1518501106">
    <w:abstractNumId w:val="5"/>
  </w:num>
  <w:num w:numId="13" w16cid:durableId="1010251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32"/>
    <w:rsid w:val="00255D30"/>
    <w:rsid w:val="002834B2"/>
    <w:rsid w:val="005842AC"/>
    <w:rsid w:val="005B7832"/>
    <w:rsid w:val="00787F59"/>
    <w:rsid w:val="00BD3537"/>
    <w:rsid w:val="00E65AD1"/>
    <w:rsid w:val="00E7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5BA173D"/>
  <w15:docId w15:val="{3AF70CC4-D663-4828-9E1E-D34BE441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76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76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76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dpis1Char">
    <w:name w:val="Nadpis 1 Char"/>
    <w:basedOn w:val="Standardnpsmoodstavce"/>
    <w:uiPriority w:val="9"/>
    <w:rsid w:val="00767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767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767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7677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7677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7677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77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77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773D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76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76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76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773D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7677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773D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00767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77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773D"/>
    <w:rPr>
      <w:b/>
      <w:bCs/>
      <w:smallCaps/>
      <w:color w:val="0F4761" w:themeColor="accent1" w:themeShade="BF"/>
      <w:spacing w:val="5"/>
    </w:r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upi.opa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iAE5LYdTKl0ar+KA4i3ZS66Wyw==">CgMxLjA4AHIhMXR5aHBCU2ZhdHF1TEY1U0ZLQS02TmpOYkg4OERFdlVF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Hanková</dc:creator>
  <cp:lastModifiedBy>Pavla Hanková</cp:lastModifiedBy>
  <cp:revision>5</cp:revision>
  <cp:lastPrinted>2025-08-21T05:28:00Z</cp:lastPrinted>
  <dcterms:created xsi:type="dcterms:W3CDTF">2025-08-14T09:54:00Z</dcterms:created>
  <dcterms:modified xsi:type="dcterms:W3CDTF">2025-08-21T08:53:00Z</dcterms:modified>
</cp:coreProperties>
</file>